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13" w:rsidRDefault="00FB3B13" w:rsidP="00FB3B13">
      <w:pPr>
        <w:pStyle w:val="Ttulo"/>
        <w:rPr>
          <w:noProof/>
          <w:lang w:val="es-ES" w:eastAsia="es-ES"/>
        </w:rPr>
      </w:pPr>
      <w:r>
        <w:rPr>
          <w:noProof/>
          <w:lang w:val="es-ES" w:eastAsia="es-ES"/>
        </w:rPr>
        <w:drawing>
          <wp:inline distT="0" distB="0" distL="0" distR="0">
            <wp:extent cx="704850" cy="47625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srcRect/>
                    <a:stretch>
                      <a:fillRect/>
                    </a:stretch>
                  </pic:blipFill>
                  <pic:spPr bwMode="auto">
                    <a:xfrm>
                      <a:off x="0" y="0"/>
                      <a:ext cx="704850" cy="476250"/>
                    </a:xfrm>
                    <a:prstGeom prst="rect">
                      <a:avLst/>
                    </a:prstGeom>
                    <a:noFill/>
                    <a:ln w="9525">
                      <a:noFill/>
                      <a:miter lim="800000"/>
                      <a:headEnd/>
                      <a:tailEnd/>
                    </a:ln>
                  </pic:spPr>
                </pic:pic>
              </a:graphicData>
            </a:graphic>
          </wp:inline>
        </w:drawing>
      </w:r>
    </w:p>
    <w:p w:rsidR="00FB3B13" w:rsidRPr="007E0709" w:rsidRDefault="00FB3B13" w:rsidP="00FB3B13">
      <w:pPr>
        <w:pStyle w:val="Ttulo6"/>
        <w:ind w:left="0" w:firstLine="0"/>
        <w:jc w:val="center"/>
        <w:rPr>
          <w:sz w:val="28"/>
          <w:szCs w:val="28"/>
        </w:rPr>
      </w:pPr>
      <w:r w:rsidRPr="007E0709">
        <w:rPr>
          <w:sz w:val="28"/>
          <w:szCs w:val="28"/>
        </w:rPr>
        <w:t>ADMINISTRACION DE LAS OBRAS SANITARIAS DEL ESTADO</w:t>
      </w:r>
    </w:p>
    <w:p w:rsidR="00FB3B13" w:rsidRPr="007E0709" w:rsidRDefault="00FB3B13" w:rsidP="00FB3B13">
      <w:pPr>
        <w:pStyle w:val="Ttulo"/>
        <w:rPr>
          <w:sz w:val="24"/>
          <w:szCs w:val="24"/>
          <w:lang w:val="es-ES_tradnl"/>
        </w:rPr>
      </w:pPr>
      <w:r w:rsidRPr="000F2255">
        <w:rPr>
          <w:sz w:val="24"/>
          <w:szCs w:val="24"/>
          <w:lang w:val="es-ES"/>
        </w:rPr>
        <w:t>REPÚBLICA ORIENTAL DEL URUGUAY</w:t>
      </w:r>
    </w:p>
    <w:p w:rsidR="00FB3B13" w:rsidRDefault="00FB3B13" w:rsidP="00FB3B13">
      <w:pPr>
        <w:pStyle w:val="Ttulo"/>
        <w:rPr>
          <w:bCs/>
          <w:color w:val="000000"/>
          <w:sz w:val="32"/>
          <w:szCs w:val="32"/>
          <w:lang w:val="es-ES"/>
        </w:rPr>
      </w:pPr>
    </w:p>
    <w:p w:rsidR="00FB3B13" w:rsidRPr="008A6116" w:rsidRDefault="00FB3B13" w:rsidP="00FB3B13">
      <w:pPr>
        <w:pStyle w:val="Ttulo"/>
        <w:rPr>
          <w:sz w:val="32"/>
          <w:szCs w:val="32"/>
          <w:lang w:val="es-ES"/>
        </w:rPr>
      </w:pPr>
      <w:r w:rsidRPr="007E0709">
        <w:rPr>
          <w:bCs/>
          <w:color w:val="000000"/>
          <w:sz w:val="32"/>
          <w:szCs w:val="32"/>
          <w:lang w:val="es-ES"/>
        </w:rPr>
        <w:t>PROYECTO OSE SUSTENTABLE Y EFICIENTE</w:t>
      </w:r>
    </w:p>
    <w:p w:rsidR="00FB3B13" w:rsidRDefault="00FB3B13" w:rsidP="00FB3B13">
      <w:pPr>
        <w:jc w:val="center"/>
      </w:pPr>
      <w:r>
        <w:t>SECTOR: AGUA Y SANEAMIENTO</w:t>
      </w:r>
    </w:p>
    <w:p w:rsidR="00FB3B13" w:rsidRDefault="00FB3B13" w:rsidP="00FB3B13">
      <w:pPr>
        <w:jc w:val="center"/>
        <w:rPr>
          <w:b/>
          <w:sz w:val="28"/>
          <w:szCs w:val="28"/>
        </w:rPr>
      </w:pPr>
    </w:p>
    <w:p w:rsidR="00FB3B13" w:rsidRPr="007B701E" w:rsidRDefault="00FB3B13" w:rsidP="00FB3B13">
      <w:pPr>
        <w:jc w:val="center"/>
        <w:rPr>
          <w:b/>
          <w:sz w:val="28"/>
          <w:szCs w:val="28"/>
        </w:rPr>
      </w:pPr>
      <w:r w:rsidRPr="007B701E">
        <w:rPr>
          <w:b/>
          <w:sz w:val="28"/>
          <w:szCs w:val="28"/>
        </w:rPr>
        <w:t xml:space="preserve">ANUNCIO </w:t>
      </w:r>
      <w:r>
        <w:rPr>
          <w:b/>
          <w:sz w:val="28"/>
          <w:szCs w:val="28"/>
        </w:rPr>
        <w:t>ESPECÍFICO</w:t>
      </w:r>
      <w:r w:rsidRPr="007B701E">
        <w:rPr>
          <w:b/>
          <w:sz w:val="28"/>
          <w:szCs w:val="28"/>
        </w:rPr>
        <w:t xml:space="preserve"> DE ADQUISICIONES</w:t>
      </w:r>
    </w:p>
    <w:p w:rsidR="00FB3B13" w:rsidRPr="0043684B" w:rsidRDefault="00FB3B13" w:rsidP="00FB3B13">
      <w:pPr>
        <w:jc w:val="center"/>
        <w:rPr>
          <w:b/>
          <w:lang w:val="es-CO"/>
        </w:rPr>
      </w:pPr>
      <w:r w:rsidRPr="007B701E">
        <w:rPr>
          <w:b/>
          <w:bCs/>
          <w:color w:val="000000"/>
          <w:sz w:val="28"/>
          <w:szCs w:val="28"/>
        </w:rPr>
        <w:t>Préstamo BIRF Nº 8183-UY</w:t>
      </w:r>
    </w:p>
    <w:p w:rsidR="00FB3B13" w:rsidRDefault="00FB3B13" w:rsidP="00FB3B13">
      <w:pPr>
        <w:suppressAutoHyphens/>
        <w:spacing w:line="288" w:lineRule="auto"/>
        <w:ind w:left="1440" w:hanging="1440"/>
        <w:jc w:val="both"/>
        <w:rPr>
          <w:b/>
          <w:spacing w:val="-3"/>
        </w:rPr>
      </w:pPr>
    </w:p>
    <w:p w:rsidR="00FB3B13" w:rsidRPr="0043684B" w:rsidRDefault="00FB3B13" w:rsidP="00FB3B13">
      <w:pPr>
        <w:suppressAutoHyphens/>
        <w:spacing w:line="288" w:lineRule="auto"/>
        <w:ind w:left="1440" w:hanging="1440"/>
        <w:jc w:val="center"/>
        <w:rPr>
          <w:b/>
          <w:spacing w:val="-3"/>
        </w:rPr>
      </w:pPr>
      <w:r w:rsidRPr="0043684B">
        <w:rPr>
          <w:b/>
          <w:spacing w:val="-3"/>
        </w:rPr>
        <w:t>Llamado a Licitación</w:t>
      </w:r>
      <w:r w:rsidR="00DB0D6C">
        <w:rPr>
          <w:b/>
          <w:spacing w:val="-3"/>
        </w:rPr>
        <w:t xml:space="preserve"> LPI 15.332</w:t>
      </w:r>
    </w:p>
    <w:p w:rsidR="00FB3B13" w:rsidRPr="003E543A" w:rsidRDefault="00FB3B13" w:rsidP="00FB3B13"/>
    <w:p w:rsidR="00FB3B13" w:rsidRDefault="00FB3B13" w:rsidP="00FB3B13">
      <w:pPr>
        <w:numPr>
          <w:ilvl w:val="0"/>
          <w:numId w:val="2"/>
        </w:numPr>
        <w:jc w:val="both"/>
        <w:rPr>
          <w:lang w:val="es-MX"/>
        </w:rPr>
      </w:pPr>
      <w:r w:rsidRPr="00BC0C9B">
        <w:rPr>
          <w:lang w:val="es-MX"/>
        </w:rPr>
        <w:t xml:space="preserve">Este llamado a licitación se emite como resultado del Aviso General de Adquisiciones que para este Proyecto fuese publicado en el </w:t>
      </w:r>
      <w:proofErr w:type="spellStart"/>
      <w:r w:rsidRPr="00BC0C9B">
        <w:rPr>
          <w:lang w:val="es-MX"/>
        </w:rPr>
        <w:t>Development</w:t>
      </w:r>
      <w:proofErr w:type="spellEnd"/>
      <w:r w:rsidRPr="00BC0C9B">
        <w:rPr>
          <w:lang w:val="es-MX"/>
        </w:rPr>
        <w:t xml:space="preserve"> Business, edición No. </w:t>
      </w:r>
      <w:r w:rsidRPr="0043684B">
        <w:rPr>
          <w:lang w:val="es-MX"/>
        </w:rPr>
        <w:t>WB2360-05/13</w:t>
      </w:r>
      <w:r w:rsidRPr="00BC0C9B">
        <w:rPr>
          <w:lang w:val="es-MX"/>
        </w:rPr>
        <w:t xml:space="preserve"> de </w:t>
      </w:r>
      <w:r w:rsidRPr="0043684B">
        <w:rPr>
          <w:lang w:val="es-MX"/>
        </w:rPr>
        <w:t xml:space="preserve">3 </w:t>
      </w:r>
      <w:r>
        <w:rPr>
          <w:lang w:val="es-MX"/>
        </w:rPr>
        <w:t>de mayo de</w:t>
      </w:r>
      <w:r w:rsidRPr="0043684B">
        <w:rPr>
          <w:lang w:val="es-MX"/>
        </w:rPr>
        <w:t xml:space="preserve"> 2013</w:t>
      </w:r>
      <w:r>
        <w:rPr>
          <w:lang w:val="es-MX"/>
        </w:rPr>
        <w:t>.</w:t>
      </w:r>
    </w:p>
    <w:p w:rsidR="00FB3B13" w:rsidRDefault="00FB3B13" w:rsidP="00FB3B13">
      <w:pPr>
        <w:pStyle w:val="Prrafodelista"/>
        <w:rPr>
          <w:lang w:val="es-MX"/>
        </w:rPr>
      </w:pPr>
    </w:p>
    <w:p w:rsidR="00FB3B13" w:rsidRDefault="00FB3B13" w:rsidP="00FB3B13">
      <w:pPr>
        <w:numPr>
          <w:ilvl w:val="0"/>
          <w:numId w:val="2"/>
        </w:numPr>
        <w:ind w:left="714" w:hanging="357"/>
        <w:jc w:val="both"/>
      </w:pPr>
      <w:r w:rsidRPr="00636D3C">
        <w:rPr>
          <w:lang w:val="es-MX"/>
        </w:rPr>
        <w:t>La Administración de las Obras Sanitarias del Estado</w:t>
      </w:r>
      <w:r>
        <w:rPr>
          <w:lang w:val="es-MX"/>
        </w:rPr>
        <w:t xml:space="preserve"> (</w:t>
      </w:r>
      <w:r w:rsidRPr="00636D3C">
        <w:rPr>
          <w:lang w:val="es-MX"/>
        </w:rPr>
        <w:t>OSE</w:t>
      </w:r>
      <w:r>
        <w:rPr>
          <w:lang w:val="es-MX"/>
        </w:rPr>
        <w:t>)</w:t>
      </w:r>
      <w:r w:rsidRPr="00636D3C">
        <w:rPr>
          <w:b/>
          <w:lang w:val="es-MX"/>
        </w:rPr>
        <w:t xml:space="preserve"> </w:t>
      </w:r>
      <w:r w:rsidRPr="00636D3C">
        <w:rPr>
          <w:lang w:val="es-MX"/>
        </w:rPr>
        <w:t>ha solicitado un préstamo del Banco Internacional de Reconstrucción y Fomento (B.I.R.F.) para financiar parcialmente el costo de</w:t>
      </w:r>
      <w:r>
        <w:rPr>
          <w:lang w:val="es-MX"/>
        </w:rPr>
        <w:t>l Proyecto “OSE Sustentable y Eficiente”</w:t>
      </w:r>
      <w:r w:rsidRPr="00C452F7">
        <w:t>, y se propone utilizar parte de los fondos de este préstamo para efectuar los pagos bajo el Contrato</w:t>
      </w:r>
      <w:r>
        <w:t xml:space="preserve"> para el </w:t>
      </w:r>
      <w:r w:rsidRPr="0093176E">
        <w:rPr>
          <w:b/>
        </w:rPr>
        <w:t>“Suministro y Ejecución de Obras Civiles para la Detección y Reducción de Agua No Contabilizada en  la ciudad de Montevideo”</w:t>
      </w:r>
      <w:r>
        <w:t>.</w:t>
      </w:r>
      <w:r w:rsidRPr="00C452F7">
        <w:t xml:space="preserve"> </w:t>
      </w:r>
    </w:p>
    <w:p w:rsidR="00FB3B13" w:rsidRDefault="00FB3B13" w:rsidP="00FB3B13">
      <w:pPr>
        <w:pStyle w:val="Prrafodelista"/>
      </w:pPr>
    </w:p>
    <w:p w:rsidR="00FB3B13" w:rsidRPr="00C452F7" w:rsidRDefault="00FB3B13" w:rsidP="00FB3B13">
      <w:pPr>
        <w:numPr>
          <w:ilvl w:val="0"/>
          <w:numId w:val="2"/>
        </w:numPr>
        <w:jc w:val="both"/>
      </w:pPr>
      <w:r w:rsidRPr="00C452F7">
        <w:rPr>
          <w:lang w:val="es-MX"/>
        </w:rPr>
        <w:t xml:space="preserve">OSE invita a los licitantes elegibles a presentar ofertas selladas para la obra </w:t>
      </w:r>
      <w:r w:rsidRPr="00C452F7">
        <w:t>“</w:t>
      </w:r>
      <w:r>
        <w:t>Suministro y Ejecución de Obras Civiles para la Detección y Reducción de Agua No Contabilizada en la ciudad de Montevideo”</w:t>
      </w:r>
      <w:r w:rsidRPr="00C452F7">
        <w:t>,</w:t>
      </w:r>
      <w:r>
        <w:t xml:space="preserve"> </w:t>
      </w:r>
      <w:r w:rsidRPr="00C452F7">
        <w:t>cuya ejecución comprende</w:t>
      </w:r>
      <w:r>
        <w:t xml:space="preserve"> las obras definidas como: </w:t>
      </w:r>
      <w:r w:rsidRPr="00570614">
        <w:rPr>
          <w:b/>
        </w:rPr>
        <w:t>Lote 1</w:t>
      </w:r>
      <w:r>
        <w:t xml:space="preserve"> Obras RANC Montevideo Zona Este, </w:t>
      </w:r>
      <w:r w:rsidRPr="00570614">
        <w:rPr>
          <w:b/>
        </w:rPr>
        <w:t>Lote 2</w:t>
      </w:r>
      <w:r>
        <w:t xml:space="preserve"> Obras RANC Montevideo Zona Centro y </w:t>
      </w:r>
      <w:r w:rsidRPr="00570614">
        <w:rPr>
          <w:b/>
        </w:rPr>
        <w:t>Lote 3</w:t>
      </w:r>
      <w:r>
        <w:t xml:space="preserve"> Obras RANC Montevideo Zona Oeste, y</w:t>
      </w:r>
      <w:r w:rsidRPr="00C452F7">
        <w:t xml:space="preserve"> </w:t>
      </w:r>
      <w:r>
        <w:t xml:space="preserve">básicamente </w:t>
      </w:r>
      <w:r w:rsidRPr="00C452F7">
        <w:t>los siguientes trabajos</w:t>
      </w:r>
      <w:r>
        <w:t>:</w:t>
      </w:r>
    </w:p>
    <w:p w:rsidR="00FB3B13" w:rsidRPr="00C452F7" w:rsidRDefault="00FB3B13" w:rsidP="00FB3B13">
      <w:pPr>
        <w:ind w:left="709" w:hanging="709"/>
        <w:jc w:val="both"/>
      </w:pPr>
      <w:r w:rsidRPr="00C452F7">
        <w:t xml:space="preserve"> </w:t>
      </w:r>
    </w:p>
    <w:p w:rsidR="00FB3B13" w:rsidRDefault="00FB3B13" w:rsidP="00FB3B13">
      <w:pPr>
        <w:numPr>
          <w:ilvl w:val="0"/>
          <w:numId w:val="5"/>
        </w:numPr>
        <w:autoSpaceDE w:val="0"/>
        <w:autoSpaceDN w:val="0"/>
        <w:adjustRightInd w:val="0"/>
        <w:spacing w:line="240" w:lineRule="atLeast"/>
        <w:ind w:left="1560"/>
        <w:jc w:val="both"/>
        <w:rPr>
          <w:rFonts w:cs="Arial"/>
        </w:rPr>
      </w:pPr>
      <w:r>
        <w:rPr>
          <w:rFonts w:cs="Arial"/>
        </w:rPr>
        <w:t>censo de domicilios que posean tanques de reserva,</w:t>
      </w:r>
    </w:p>
    <w:p w:rsidR="00FB3B13" w:rsidRDefault="00FB3B13" w:rsidP="00FB3B13">
      <w:pPr>
        <w:numPr>
          <w:ilvl w:val="0"/>
          <w:numId w:val="5"/>
        </w:numPr>
        <w:autoSpaceDE w:val="0"/>
        <w:autoSpaceDN w:val="0"/>
        <w:adjustRightInd w:val="0"/>
        <w:spacing w:line="240" w:lineRule="atLeast"/>
        <w:ind w:left="1560"/>
        <w:jc w:val="both"/>
        <w:rPr>
          <w:rFonts w:cs="Arial"/>
        </w:rPr>
      </w:pPr>
      <w:r>
        <w:rPr>
          <w:rFonts w:cs="Arial"/>
        </w:rPr>
        <w:t xml:space="preserve">registro de presiones en puntos relevantes, </w:t>
      </w:r>
    </w:p>
    <w:p w:rsidR="00FB3B13" w:rsidRDefault="00FB3B13" w:rsidP="00FB3B13">
      <w:pPr>
        <w:numPr>
          <w:ilvl w:val="0"/>
          <w:numId w:val="5"/>
        </w:numPr>
        <w:autoSpaceDE w:val="0"/>
        <w:autoSpaceDN w:val="0"/>
        <w:adjustRightInd w:val="0"/>
        <w:spacing w:line="240" w:lineRule="atLeast"/>
        <w:ind w:left="1560"/>
        <w:jc w:val="both"/>
        <w:rPr>
          <w:rFonts w:cs="Arial"/>
        </w:rPr>
      </w:pPr>
      <w:r>
        <w:rPr>
          <w:rFonts w:cs="Arial"/>
        </w:rPr>
        <w:t xml:space="preserve">determinar la existencia de conexiones ilegales, </w:t>
      </w:r>
    </w:p>
    <w:p w:rsidR="00FB3B13" w:rsidRDefault="00FB3B13" w:rsidP="00FB3B13">
      <w:pPr>
        <w:numPr>
          <w:ilvl w:val="0"/>
          <w:numId w:val="5"/>
        </w:numPr>
        <w:autoSpaceDE w:val="0"/>
        <w:autoSpaceDN w:val="0"/>
        <w:adjustRightInd w:val="0"/>
        <w:spacing w:line="240" w:lineRule="atLeast"/>
        <w:ind w:left="1560"/>
        <w:jc w:val="both"/>
        <w:rPr>
          <w:rFonts w:cs="Arial"/>
        </w:rPr>
      </w:pPr>
      <w:r>
        <w:rPr>
          <w:rFonts w:cs="Arial"/>
        </w:rPr>
        <w:t xml:space="preserve">corte del suministro a pedido de OSE, </w:t>
      </w:r>
    </w:p>
    <w:p w:rsidR="00FB3B13" w:rsidRDefault="00FB3B13" w:rsidP="00FB3B13">
      <w:pPr>
        <w:numPr>
          <w:ilvl w:val="0"/>
          <w:numId w:val="5"/>
        </w:numPr>
        <w:autoSpaceDE w:val="0"/>
        <w:autoSpaceDN w:val="0"/>
        <w:adjustRightInd w:val="0"/>
        <w:spacing w:line="240" w:lineRule="atLeast"/>
        <w:ind w:left="1560"/>
        <w:jc w:val="both"/>
        <w:rPr>
          <w:rFonts w:cs="Arial"/>
        </w:rPr>
      </w:pPr>
      <w:r>
        <w:rPr>
          <w:rFonts w:cs="Arial"/>
        </w:rPr>
        <w:t>la</w:t>
      </w:r>
      <w:r w:rsidRPr="00F47401">
        <w:rPr>
          <w:rFonts w:cs="Arial"/>
          <w:color w:val="FF0000"/>
        </w:rPr>
        <w:t xml:space="preserve"> </w:t>
      </w:r>
      <w:r w:rsidRPr="00386DCA">
        <w:rPr>
          <w:rFonts w:cs="Arial"/>
        </w:rPr>
        <w:t xml:space="preserve">sustitución de llaves, hidrantes, válvulas reductoras de presión, </w:t>
      </w:r>
    </w:p>
    <w:p w:rsidR="00FB3B13" w:rsidRDefault="00FB3B13" w:rsidP="00FB3B13">
      <w:pPr>
        <w:numPr>
          <w:ilvl w:val="0"/>
          <w:numId w:val="5"/>
        </w:numPr>
        <w:autoSpaceDE w:val="0"/>
        <w:autoSpaceDN w:val="0"/>
        <w:adjustRightInd w:val="0"/>
        <w:spacing w:line="240" w:lineRule="atLeast"/>
        <w:ind w:left="1560"/>
        <w:jc w:val="both"/>
        <w:rPr>
          <w:rFonts w:cs="Arial"/>
        </w:rPr>
      </w:pPr>
      <w:r w:rsidRPr="00386DCA">
        <w:rPr>
          <w:rFonts w:cs="Arial"/>
        </w:rPr>
        <w:t>sustitución de</w:t>
      </w:r>
      <w:r w:rsidRPr="00D10BF1">
        <w:rPr>
          <w:rFonts w:cs="Arial"/>
        </w:rPr>
        <w:t xml:space="preserve"> conexiones de agua, </w:t>
      </w:r>
    </w:p>
    <w:p w:rsidR="00FB3B13" w:rsidRDefault="00FB3B13" w:rsidP="00FB3B13">
      <w:pPr>
        <w:numPr>
          <w:ilvl w:val="0"/>
          <w:numId w:val="5"/>
        </w:numPr>
        <w:autoSpaceDE w:val="0"/>
        <w:autoSpaceDN w:val="0"/>
        <w:adjustRightInd w:val="0"/>
        <w:spacing w:line="240" w:lineRule="atLeast"/>
        <w:ind w:left="1560"/>
        <w:jc w:val="both"/>
        <w:rPr>
          <w:rFonts w:cs="Arial"/>
        </w:rPr>
      </w:pPr>
      <w:r w:rsidRPr="00D10BF1">
        <w:rPr>
          <w:rFonts w:cs="Arial"/>
        </w:rPr>
        <w:t xml:space="preserve">sustitución de ramales provisorios por redes definitivas, sustitución de tuberías, </w:t>
      </w:r>
    </w:p>
    <w:p w:rsidR="00FB3B13" w:rsidRDefault="00FB3B13" w:rsidP="00FB3B13">
      <w:pPr>
        <w:numPr>
          <w:ilvl w:val="0"/>
          <w:numId w:val="5"/>
        </w:numPr>
        <w:autoSpaceDE w:val="0"/>
        <w:autoSpaceDN w:val="0"/>
        <w:adjustRightInd w:val="0"/>
        <w:spacing w:line="240" w:lineRule="atLeast"/>
        <w:ind w:left="1560"/>
        <w:jc w:val="both"/>
        <w:rPr>
          <w:rFonts w:cs="Arial"/>
        </w:rPr>
      </w:pPr>
      <w:r w:rsidRPr="00D10BF1">
        <w:rPr>
          <w:rFonts w:cs="Arial"/>
        </w:rPr>
        <w:t xml:space="preserve">construcción de </w:t>
      </w:r>
      <w:r>
        <w:rPr>
          <w:rFonts w:cs="Arial"/>
        </w:rPr>
        <w:t xml:space="preserve">nuevas </w:t>
      </w:r>
      <w:r w:rsidRPr="00D10BF1">
        <w:rPr>
          <w:rFonts w:cs="Arial"/>
        </w:rPr>
        <w:t xml:space="preserve">tuberías, </w:t>
      </w:r>
    </w:p>
    <w:p w:rsidR="00FB3B13" w:rsidRDefault="00FB3B13" w:rsidP="00FB3B13">
      <w:pPr>
        <w:numPr>
          <w:ilvl w:val="0"/>
          <w:numId w:val="5"/>
        </w:numPr>
        <w:autoSpaceDE w:val="0"/>
        <w:autoSpaceDN w:val="0"/>
        <w:adjustRightInd w:val="0"/>
        <w:spacing w:line="240" w:lineRule="atLeast"/>
        <w:ind w:left="1560"/>
        <w:jc w:val="both"/>
        <w:rPr>
          <w:rFonts w:cs="Arial"/>
        </w:rPr>
      </w:pPr>
      <w:r w:rsidRPr="00D10BF1">
        <w:rPr>
          <w:rFonts w:cs="Arial"/>
        </w:rPr>
        <w:t xml:space="preserve">detección de fugas de agua </w:t>
      </w:r>
      <w:r>
        <w:rPr>
          <w:rFonts w:cs="Arial"/>
        </w:rPr>
        <w:t xml:space="preserve">visibles e invisibles </w:t>
      </w:r>
      <w:r w:rsidRPr="00D10BF1">
        <w:rPr>
          <w:rFonts w:cs="Arial"/>
        </w:rPr>
        <w:t xml:space="preserve">en la red de distribución, </w:t>
      </w:r>
    </w:p>
    <w:p w:rsidR="00FB3B13" w:rsidRDefault="00FB3B13" w:rsidP="00FB3B13">
      <w:pPr>
        <w:numPr>
          <w:ilvl w:val="0"/>
          <w:numId w:val="5"/>
        </w:numPr>
        <w:autoSpaceDE w:val="0"/>
        <w:autoSpaceDN w:val="0"/>
        <w:adjustRightInd w:val="0"/>
        <w:spacing w:line="240" w:lineRule="atLeast"/>
        <w:ind w:left="1560"/>
        <w:jc w:val="both"/>
        <w:rPr>
          <w:rFonts w:cs="Arial"/>
        </w:rPr>
      </w:pPr>
      <w:r w:rsidRPr="00D10BF1">
        <w:rPr>
          <w:rFonts w:cs="Arial"/>
        </w:rPr>
        <w:t xml:space="preserve">instalación de </w:t>
      </w:r>
      <w:proofErr w:type="spellStart"/>
      <w:r w:rsidRPr="00D10BF1">
        <w:rPr>
          <w:rFonts w:cs="Arial"/>
        </w:rPr>
        <w:t>macromedidores</w:t>
      </w:r>
      <w:proofErr w:type="spellEnd"/>
      <w:r w:rsidRPr="00D10BF1">
        <w:rPr>
          <w:rFonts w:cs="Arial"/>
        </w:rPr>
        <w:t xml:space="preserve">, </w:t>
      </w:r>
    </w:p>
    <w:p w:rsidR="00FB3B13" w:rsidRDefault="00FB3B13" w:rsidP="00FB3B13">
      <w:pPr>
        <w:numPr>
          <w:ilvl w:val="0"/>
          <w:numId w:val="5"/>
        </w:numPr>
        <w:autoSpaceDE w:val="0"/>
        <w:autoSpaceDN w:val="0"/>
        <w:adjustRightInd w:val="0"/>
        <w:spacing w:line="240" w:lineRule="atLeast"/>
        <w:ind w:left="1560"/>
        <w:jc w:val="both"/>
        <w:rPr>
          <w:rFonts w:cs="Arial"/>
        </w:rPr>
      </w:pPr>
      <w:r>
        <w:rPr>
          <w:rFonts w:cs="Arial"/>
        </w:rPr>
        <w:t xml:space="preserve">sustitución de </w:t>
      </w:r>
      <w:proofErr w:type="spellStart"/>
      <w:r>
        <w:rPr>
          <w:rFonts w:cs="Arial"/>
        </w:rPr>
        <w:t>micromedidores</w:t>
      </w:r>
      <w:proofErr w:type="spellEnd"/>
      <w:r>
        <w:rPr>
          <w:rFonts w:cs="Arial"/>
        </w:rPr>
        <w:t xml:space="preserve">, </w:t>
      </w:r>
    </w:p>
    <w:p w:rsidR="00FB3B13" w:rsidRPr="00D10BF1" w:rsidRDefault="00FB3B13" w:rsidP="00FB3B13">
      <w:pPr>
        <w:numPr>
          <w:ilvl w:val="0"/>
          <w:numId w:val="5"/>
        </w:numPr>
        <w:autoSpaceDE w:val="0"/>
        <w:autoSpaceDN w:val="0"/>
        <w:adjustRightInd w:val="0"/>
        <w:spacing w:line="240" w:lineRule="atLeast"/>
        <w:ind w:left="1560"/>
        <w:jc w:val="both"/>
        <w:rPr>
          <w:rFonts w:cs="Arial"/>
        </w:rPr>
      </w:pPr>
      <w:r>
        <w:rPr>
          <w:rFonts w:cs="Arial"/>
        </w:rPr>
        <w:t>presentación de informes mensuales</w:t>
      </w:r>
    </w:p>
    <w:p w:rsidR="00FB3B13" w:rsidRPr="00C452F7" w:rsidRDefault="00FB3B13" w:rsidP="00FB3B13">
      <w:pPr>
        <w:jc w:val="both"/>
      </w:pPr>
    </w:p>
    <w:p w:rsidR="00FB3B13" w:rsidRPr="00C452F7" w:rsidRDefault="00FB3B13" w:rsidP="00FB3B13">
      <w:pPr>
        <w:numPr>
          <w:ilvl w:val="0"/>
          <w:numId w:val="2"/>
        </w:numPr>
        <w:jc w:val="both"/>
        <w:rPr>
          <w:lang w:val="es-MX"/>
        </w:rPr>
      </w:pPr>
      <w:r w:rsidRPr="00C452F7">
        <w:rPr>
          <w:lang w:val="es-MX"/>
        </w:rPr>
        <w:lastRenderedPageBreak/>
        <w:t>La licitación se efectuará conforme a los procedimientos de Licitación Pública Internacional (</w:t>
      </w:r>
      <w:r>
        <w:rPr>
          <w:lang w:val="es-MX"/>
        </w:rPr>
        <w:t>LPI</w:t>
      </w:r>
      <w:r w:rsidRPr="00C452F7">
        <w:rPr>
          <w:lang w:val="es-MX"/>
        </w:rPr>
        <w:t>) establecidos en la publicación del Banco Mundial titulada Normas:</w:t>
      </w:r>
      <w:r w:rsidRPr="00C452F7">
        <w:rPr>
          <w:i/>
          <w:lang w:val="es-MX"/>
        </w:rPr>
        <w:t xml:space="preserve"> </w:t>
      </w:r>
      <w:r w:rsidRPr="00C452F7">
        <w:rPr>
          <w:color w:val="000000"/>
          <w:lang w:val="es-ES" w:eastAsia="es-ES"/>
        </w:rPr>
        <w:t>Adquisiciones de Bienes, Obras y Servicios Distintos a los de Consultoría con Préstamos del BIRF, Créditos de la AIF &amp; Donaciones por Prestatarios del Banco Mundial</w:t>
      </w:r>
      <w:r w:rsidRPr="00C452F7">
        <w:rPr>
          <w:lang w:val="es-MX"/>
        </w:rPr>
        <w:t>, publicadas por el Banco en Enero de 2011 y está abierta a todos los licitantes de países elegibles, según se definen en dichas normas y en los Documentos de la Licitación.</w:t>
      </w:r>
    </w:p>
    <w:p w:rsidR="00FB3B13" w:rsidRDefault="00FB3B13" w:rsidP="00FB3B13">
      <w:pPr>
        <w:jc w:val="both"/>
        <w:rPr>
          <w:lang w:val="es-MX"/>
        </w:rPr>
      </w:pPr>
    </w:p>
    <w:p w:rsidR="00FB3B13" w:rsidRPr="00636D3C" w:rsidRDefault="00FB3B13" w:rsidP="00FB3B13">
      <w:pPr>
        <w:numPr>
          <w:ilvl w:val="0"/>
          <w:numId w:val="2"/>
        </w:numPr>
        <w:jc w:val="both"/>
        <w:rPr>
          <w:lang w:val="es-MX"/>
        </w:rPr>
      </w:pPr>
      <w:r w:rsidRPr="00C452F7">
        <w:rPr>
          <w:lang w:val="es-MX"/>
        </w:rPr>
        <w:t>Los licitantes elegibles que estén interesados podrán obtener información adicional y revisar los documentos de licitación en la dirección indicada al final de este Llamado.</w:t>
      </w:r>
      <w:r w:rsidRPr="00C452F7">
        <w:rPr>
          <w:i/>
          <w:lang w:val="es-MX"/>
        </w:rPr>
        <w:t xml:space="preserve"> </w:t>
      </w:r>
    </w:p>
    <w:p w:rsidR="00FB3B13" w:rsidRDefault="00FB3B13" w:rsidP="00FB3B13">
      <w:pPr>
        <w:pStyle w:val="Prrafodelista"/>
        <w:rPr>
          <w:lang w:val="es-MX"/>
        </w:rPr>
      </w:pPr>
    </w:p>
    <w:p w:rsidR="00FB3B13" w:rsidRPr="00C452F7" w:rsidRDefault="00FB3B13" w:rsidP="00FB3B13">
      <w:pPr>
        <w:numPr>
          <w:ilvl w:val="0"/>
          <w:numId w:val="2"/>
        </w:numPr>
        <w:jc w:val="both"/>
        <w:rPr>
          <w:lang w:val="es-MX"/>
        </w:rPr>
      </w:pPr>
      <w:r w:rsidRPr="00C452F7">
        <w:rPr>
          <w:lang w:val="es-MX"/>
        </w:rPr>
        <w:t>Los requisitos de calificaciones incluyen entre otros:</w:t>
      </w:r>
    </w:p>
    <w:p w:rsidR="00FB3B13" w:rsidRDefault="00FB3B13" w:rsidP="00FB3B13">
      <w:pPr>
        <w:tabs>
          <w:tab w:val="left" w:pos="1440"/>
        </w:tabs>
        <w:ind w:left="1440" w:hanging="720"/>
        <w:jc w:val="both"/>
      </w:pPr>
    </w:p>
    <w:p w:rsidR="00FB3B13" w:rsidRPr="00C452F7" w:rsidRDefault="00FB3B13" w:rsidP="00FB3B13">
      <w:pPr>
        <w:tabs>
          <w:tab w:val="left" w:pos="1440"/>
        </w:tabs>
        <w:ind w:left="1440" w:hanging="720"/>
        <w:jc w:val="both"/>
      </w:pPr>
      <w:r w:rsidRPr="00C452F7">
        <w:t>(a)</w:t>
      </w:r>
      <w:r w:rsidRPr="00C452F7">
        <w:tab/>
        <w:t xml:space="preserve">Capacidad financiera:  </w:t>
      </w:r>
    </w:p>
    <w:p w:rsidR="00FB3B13" w:rsidRPr="00C452F7" w:rsidRDefault="00FB3B13" w:rsidP="00FB3B13">
      <w:pPr>
        <w:tabs>
          <w:tab w:val="left" w:pos="1440"/>
        </w:tabs>
        <w:ind w:left="1440" w:hanging="720"/>
        <w:jc w:val="both"/>
      </w:pPr>
    </w:p>
    <w:p w:rsidR="00FB3B13" w:rsidRPr="00C452F7" w:rsidRDefault="00FB3B13" w:rsidP="00FB3B13">
      <w:pPr>
        <w:tabs>
          <w:tab w:val="left" w:pos="1440"/>
        </w:tabs>
        <w:ind w:left="1440"/>
        <w:jc w:val="both"/>
        <w:rPr>
          <w:i/>
          <w:iCs/>
        </w:rPr>
      </w:pPr>
      <w:r w:rsidRPr="00C452F7">
        <w:t xml:space="preserve">El Licitante deberá proporcionar </w:t>
      </w:r>
      <w:r>
        <w:t xml:space="preserve">para cada Lote ofertado, </w:t>
      </w:r>
      <w:r w:rsidRPr="00C452F7">
        <w:t>evidencia documentada que demuestre su cumplimiento con los siguientes requisitos financieros</w:t>
      </w:r>
      <w:r>
        <w:t xml:space="preserve">. </w:t>
      </w:r>
      <w:r w:rsidRPr="003D3A4D">
        <w:t>En caso de presentarse una oferta para dos o más lotes, el Licitante debe</w:t>
      </w:r>
      <w:r>
        <w:t>rá</w:t>
      </w:r>
      <w:r w:rsidRPr="003D3A4D">
        <w:t xml:space="preserve"> cumplir con la suma de los requisitos de los lotes individuales</w:t>
      </w:r>
      <w:r w:rsidRPr="00C452F7">
        <w:t xml:space="preserve">: </w:t>
      </w:r>
    </w:p>
    <w:p w:rsidR="00FB3B13" w:rsidRPr="00C452F7" w:rsidRDefault="00FB3B13" w:rsidP="00FB3B13">
      <w:pPr>
        <w:tabs>
          <w:tab w:val="left" w:pos="1440"/>
        </w:tabs>
        <w:ind w:left="1440"/>
        <w:jc w:val="both"/>
        <w:rPr>
          <w:i/>
          <w:iCs/>
        </w:rPr>
      </w:pPr>
    </w:p>
    <w:p w:rsidR="00FB3B13" w:rsidRPr="00C452F7" w:rsidRDefault="00FB3B13" w:rsidP="00FB3B13">
      <w:pPr>
        <w:tabs>
          <w:tab w:val="left" w:pos="1440"/>
        </w:tabs>
        <w:ind w:left="1440"/>
        <w:jc w:val="both"/>
      </w:pPr>
      <w:r w:rsidRPr="00C452F7">
        <w:t xml:space="preserve">1. Facturación promedio de construcción anual de U$S </w:t>
      </w:r>
      <w:r>
        <w:t>4</w:t>
      </w:r>
      <w:r w:rsidRPr="00C452F7">
        <w:t>.</w:t>
      </w:r>
      <w:r>
        <w:t>5</w:t>
      </w:r>
      <w:r w:rsidRPr="00C452F7">
        <w:t>00.000, como mínimo, calculada sobre la base del total de pagos certificados recibidos por contratos en curso o terminados, durante los últimos tres (3)</w:t>
      </w:r>
      <w:r w:rsidRPr="00C452F7">
        <w:rPr>
          <w:iCs/>
        </w:rPr>
        <w:t xml:space="preserve"> </w:t>
      </w:r>
      <w:r w:rsidRPr="00C452F7">
        <w:t>ejercicios económicos.</w:t>
      </w:r>
    </w:p>
    <w:p w:rsidR="00FB3B13" w:rsidRPr="00C452F7" w:rsidRDefault="00FB3B13" w:rsidP="00FB3B13">
      <w:pPr>
        <w:tabs>
          <w:tab w:val="left" w:pos="1440"/>
        </w:tabs>
        <w:ind w:left="1440"/>
        <w:jc w:val="both"/>
      </w:pPr>
      <w:r w:rsidRPr="00C452F7">
        <w:t xml:space="preserve">2. El licitante </w:t>
      </w:r>
      <w:r w:rsidRPr="00C452F7">
        <w:rPr>
          <w:iCs/>
        </w:rPr>
        <w:t xml:space="preserve"> deberá demostrar que tiene a su disposición o cuenta con acceso a recursos financieros tales como activos líquidos, líneas de crédito y otros medios financieros distintos de pagos por anticipos contractuales, con los cuales cubrir: (i) el siguiente requisito de flujo de efectivo; U$S </w:t>
      </w:r>
      <w:r>
        <w:rPr>
          <w:iCs/>
        </w:rPr>
        <w:t>750</w:t>
      </w:r>
      <w:r w:rsidRPr="00C452F7">
        <w:rPr>
          <w:iCs/>
        </w:rPr>
        <w:t>.000.</w:t>
      </w:r>
    </w:p>
    <w:p w:rsidR="00FB3B13" w:rsidRPr="00C452F7" w:rsidRDefault="00FB3B13" w:rsidP="00FB3B13">
      <w:pPr>
        <w:tabs>
          <w:tab w:val="left" w:pos="1440"/>
        </w:tabs>
        <w:ind w:left="1440"/>
        <w:jc w:val="both"/>
      </w:pPr>
    </w:p>
    <w:p w:rsidR="00FB3B13" w:rsidRPr="00C452F7" w:rsidRDefault="00FB3B13" w:rsidP="00FB3B13">
      <w:pPr>
        <w:tabs>
          <w:tab w:val="left" w:pos="1440"/>
        </w:tabs>
        <w:ind w:left="1440"/>
        <w:jc w:val="both"/>
      </w:pPr>
    </w:p>
    <w:p w:rsidR="00FB3B13" w:rsidRPr="00C452F7" w:rsidRDefault="00FB3B13" w:rsidP="00FB3B13">
      <w:pPr>
        <w:tabs>
          <w:tab w:val="left" w:pos="1440"/>
        </w:tabs>
        <w:ind w:left="1440" w:hanging="720"/>
        <w:jc w:val="both"/>
      </w:pPr>
      <w:r w:rsidRPr="00C452F7">
        <w:t>(b)</w:t>
      </w:r>
      <w:r w:rsidRPr="00C452F7">
        <w:tab/>
        <w:t>Experiencia y Capacidad Técnica</w:t>
      </w:r>
    </w:p>
    <w:p w:rsidR="00FB3B13" w:rsidRPr="00C452F7" w:rsidRDefault="00FB3B13" w:rsidP="00FB3B13">
      <w:pPr>
        <w:tabs>
          <w:tab w:val="left" w:pos="1440"/>
        </w:tabs>
        <w:ind w:left="2160" w:hanging="720"/>
        <w:jc w:val="both"/>
      </w:pPr>
    </w:p>
    <w:p w:rsidR="00FB3B13" w:rsidRDefault="00FB3B13" w:rsidP="00FB3B13">
      <w:pPr>
        <w:pStyle w:val="Textoindependiente"/>
        <w:ind w:left="1440"/>
        <w:jc w:val="both"/>
        <w:rPr>
          <w:sz w:val="24"/>
        </w:rPr>
      </w:pPr>
      <w:r w:rsidRPr="00636D3C">
        <w:rPr>
          <w:sz w:val="24"/>
        </w:rPr>
        <w:t>El Licitante deberá proporcionar evidencia documentada que demuestre su  cumplimiento con los siguientes requisitos de experiencia:</w:t>
      </w:r>
    </w:p>
    <w:p w:rsidR="00FB3B13" w:rsidRPr="00636D3C" w:rsidRDefault="00FB3B13" w:rsidP="00FB3B13">
      <w:pPr>
        <w:pStyle w:val="Textoindependiente"/>
        <w:ind w:left="1440"/>
        <w:jc w:val="both"/>
        <w:rPr>
          <w:iCs/>
          <w:sz w:val="24"/>
        </w:rPr>
      </w:pPr>
      <w:r w:rsidRPr="00636D3C">
        <w:rPr>
          <w:iCs/>
          <w:sz w:val="24"/>
        </w:rPr>
        <w:t xml:space="preserve"> </w:t>
      </w:r>
    </w:p>
    <w:p w:rsidR="00FB3B13" w:rsidRPr="00C452F7" w:rsidRDefault="00FB3B13" w:rsidP="00FB3B13">
      <w:pPr>
        <w:pStyle w:val="Textoindependiente"/>
        <w:numPr>
          <w:ilvl w:val="0"/>
          <w:numId w:val="3"/>
        </w:numPr>
        <w:jc w:val="both"/>
        <w:rPr>
          <w:sz w:val="24"/>
        </w:rPr>
      </w:pPr>
      <w:r w:rsidRPr="00C452F7">
        <w:rPr>
          <w:sz w:val="24"/>
        </w:rPr>
        <w:t xml:space="preserve">Experiencia General; </w:t>
      </w:r>
    </w:p>
    <w:p w:rsidR="00FB3B13" w:rsidRPr="00C452F7" w:rsidRDefault="00FB3B13" w:rsidP="00FB3B13">
      <w:pPr>
        <w:pStyle w:val="Textoindependiente"/>
        <w:ind w:left="1800"/>
        <w:jc w:val="both"/>
        <w:rPr>
          <w:sz w:val="24"/>
        </w:rPr>
      </w:pPr>
      <w:r w:rsidRPr="00C452F7">
        <w:rPr>
          <w:sz w:val="24"/>
        </w:rPr>
        <w:t>Experiencia en contratos como contratista principal, contratista administrador o subcontratista por lo menos en los últimos cinco</w:t>
      </w:r>
      <w:r w:rsidRPr="00C452F7">
        <w:rPr>
          <w:iCs/>
          <w:sz w:val="24"/>
        </w:rPr>
        <w:t xml:space="preserve"> (5) años</w:t>
      </w:r>
      <w:r w:rsidRPr="00C452F7">
        <w:rPr>
          <w:sz w:val="24"/>
        </w:rPr>
        <w:t xml:space="preserve"> anteriores al plazo para la presentación de las solicitudes, y con una actividad de por lo menos nueve (9) meses cada año.  </w:t>
      </w:r>
    </w:p>
    <w:p w:rsidR="00FB3B13" w:rsidRDefault="00FB3B13" w:rsidP="00FB3B13">
      <w:pPr>
        <w:pStyle w:val="Textoindependiente"/>
        <w:ind w:left="1440"/>
        <w:jc w:val="left"/>
        <w:rPr>
          <w:sz w:val="24"/>
        </w:rPr>
      </w:pPr>
    </w:p>
    <w:p w:rsidR="00FB3B13" w:rsidRPr="00C452F7" w:rsidRDefault="00FB3B13" w:rsidP="00FB3B13">
      <w:pPr>
        <w:pStyle w:val="Textoindependiente"/>
        <w:numPr>
          <w:ilvl w:val="0"/>
          <w:numId w:val="3"/>
        </w:numPr>
        <w:jc w:val="left"/>
        <w:rPr>
          <w:i/>
          <w:iCs/>
          <w:sz w:val="24"/>
        </w:rPr>
      </w:pPr>
      <w:r w:rsidRPr="00C452F7">
        <w:rPr>
          <w:sz w:val="24"/>
        </w:rPr>
        <w:t>Experiencia Específica</w:t>
      </w:r>
    </w:p>
    <w:p w:rsidR="00FB3B13" w:rsidRDefault="00FB3B13" w:rsidP="00FB3B13">
      <w:pPr>
        <w:pStyle w:val="Textoindependiente"/>
        <w:ind w:left="1800" w:firstLine="11"/>
        <w:jc w:val="both"/>
        <w:rPr>
          <w:sz w:val="24"/>
        </w:rPr>
      </w:pPr>
      <w:r w:rsidRPr="00C452F7">
        <w:rPr>
          <w:sz w:val="24"/>
        </w:rPr>
        <w:t xml:space="preserve">Participación como contratista principal, contratista administrador o subcontratista en por lo menos dos (2) contratos en los últimos diez (10) años, cada uno por un valor mínimo de U$S </w:t>
      </w:r>
      <w:r>
        <w:rPr>
          <w:sz w:val="24"/>
        </w:rPr>
        <w:t>novecientos mil</w:t>
      </w:r>
      <w:r w:rsidRPr="00C452F7">
        <w:rPr>
          <w:sz w:val="24"/>
        </w:rPr>
        <w:t xml:space="preserve">  (</w:t>
      </w:r>
      <w:r>
        <w:rPr>
          <w:sz w:val="24"/>
        </w:rPr>
        <w:t>9</w:t>
      </w:r>
      <w:r w:rsidRPr="00C452F7">
        <w:rPr>
          <w:sz w:val="24"/>
        </w:rPr>
        <w:t>00.000), los cuales se han completado satisfactoria y sustancialmente y guardan similitud con las Obras propuestas.</w:t>
      </w:r>
      <w:r>
        <w:rPr>
          <w:sz w:val="24"/>
        </w:rPr>
        <w:t xml:space="preserve"> </w:t>
      </w:r>
      <w:r w:rsidRPr="003D3A4D">
        <w:rPr>
          <w:sz w:val="24"/>
        </w:rPr>
        <w:t xml:space="preserve">El presente requisito es a efectos de la presentación de oferta para un Lote. En caso de presentarse una oferta para dos o más lotes, el </w:t>
      </w:r>
      <w:r w:rsidRPr="003D3A4D">
        <w:rPr>
          <w:sz w:val="24"/>
        </w:rPr>
        <w:lastRenderedPageBreak/>
        <w:t>Licitante debe cumplir con la suma de los requisitos de los lotes individuales</w:t>
      </w:r>
      <w:r w:rsidRPr="00C452F7">
        <w:rPr>
          <w:sz w:val="24"/>
        </w:rPr>
        <w:t xml:space="preserve"> La similitud se basará en parámetros de tamaño físico, complejidad, métodos, tecnología y otros, con las  siguientes actividades críticas: </w:t>
      </w:r>
    </w:p>
    <w:p w:rsidR="00FB3B13" w:rsidRPr="003D3A4D" w:rsidRDefault="00FB3B13" w:rsidP="00FB3B13">
      <w:pPr>
        <w:pStyle w:val="Listaconnmeros"/>
        <w:numPr>
          <w:ilvl w:val="0"/>
          <w:numId w:val="4"/>
        </w:numPr>
        <w:jc w:val="both"/>
        <w:rPr>
          <w:rFonts w:cs="Arial"/>
          <w:spacing w:val="-3"/>
        </w:rPr>
      </w:pPr>
      <w:r w:rsidRPr="00FC70E9">
        <w:rPr>
          <w:rFonts w:cs="Arial"/>
          <w:spacing w:val="-3"/>
        </w:rPr>
        <w:t xml:space="preserve">Instalación de por lo menos 15 km de tuberías de agua potable a presión (no obras de regadío) de PVC, PEAD, FD, en áreas públicas urbanas, con metrajes superiores a </w:t>
      </w:r>
      <w:r>
        <w:rPr>
          <w:rFonts w:cs="Arial"/>
          <w:spacing w:val="-3"/>
        </w:rPr>
        <w:t>3 Km</w:t>
      </w:r>
      <w:r w:rsidRPr="00FC70E9">
        <w:rPr>
          <w:rFonts w:cs="Arial"/>
          <w:spacing w:val="-3"/>
        </w:rPr>
        <w:t>. Para evidenciar el cumplimiento de este requisito, las obras citadas deberán estar terminadas en su totalidad, debiéndose presentar copia del certificado de recepción provisoria y/o definitiva o certificado de conformidad equivalente expedido por el contratante</w:t>
      </w:r>
      <w:r w:rsidRPr="00061714">
        <w:rPr>
          <w:rFonts w:cs="Arial"/>
          <w:spacing w:val="-3"/>
          <w:sz w:val="20"/>
          <w:szCs w:val="20"/>
        </w:rPr>
        <w:t xml:space="preserve">. </w:t>
      </w:r>
      <w:r w:rsidRPr="003D3A4D">
        <w:rPr>
          <w:rFonts w:cs="Arial"/>
          <w:spacing w:val="-3"/>
        </w:rPr>
        <w:t>El presente requisito es a efectos de la presentación de oferta para un Lote. En caso de presentarse una oferta para dos o más lotes, el Licitante debe cumplir con la suma de los requisitos de los lotes individuales</w:t>
      </w:r>
      <w:r>
        <w:rPr>
          <w:rFonts w:cs="Arial"/>
          <w:spacing w:val="-3"/>
        </w:rPr>
        <w:t>.</w:t>
      </w:r>
    </w:p>
    <w:p w:rsidR="00FB3B13" w:rsidRPr="00D160ED" w:rsidRDefault="00FB3B13" w:rsidP="00FB3B13">
      <w:pPr>
        <w:pStyle w:val="Listaconnmeros"/>
        <w:numPr>
          <w:ilvl w:val="0"/>
          <w:numId w:val="4"/>
        </w:numPr>
        <w:jc w:val="both"/>
        <w:rPr>
          <w:lang w:val="es-CO"/>
        </w:rPr>
      </w:pPr>
      <w:r w:rsidRPr="00FC70E9">
        <w:rPr>
          <w:rFonts w:cs="Arial"/>
          <w:spacing w:val="-3"/>
        </w:rPr>
        <w:t xml:space="preserve">Detección de fugas invisibles en al menos 30 km de redes de distribución de agua, utilizando varillas de escucha, geófonos electrónicos y/o </w:t>
      </w:r>
      <w:proofErr w:type="spellStart"/>
      <w:r w:rsidRPr="00FC70E9">
        <w:rPr>
          <w:rFonts w:cs="Arial"/>
          <w:spacing w:val="-3"/>
        </w:rPr>
        <w:t>correladores</w:t>
      </w:r>
      <w:proofErr w:type="spellEnd"/>
      <w:r w:rsidRPr="00FC70E9">
        <w:rPr>
          <w:rFonts w:cs="Arial"/>
          <w:spacing w:val="-3"/>
        </w:rPr>
        <w:t xml:space="preserve"> electrónicos. Para evidenciar el cumplimiento de este requisito, los trabajos deberán estar ejecutados en su totalidad, debiéndose presentar copia del certificado de recepción provisoria y/o definitiva o certificado de conformidad equivalente expedido por el contratante. En caso de que el Licitante, tuviera la experiencia requerida en trabajos realizados en carácter de subcontratista, debe presentar los antecedentes de esos trabajos claramente identificados, nombres del contratista principal y del  contratante, fechas de inicio y de finalización, certificado de recepción provisoria y/o definitiva o certificado de conformidad equivalente expedido por el contratante</w:t>
      </w:r>
      <w:r w:rsidRPr="007A71CB">
        <w:rPr>
          <w:rFonts w:cs="Arial"/>
          <w:spacing w:val="-3"/>
          <w:sz w:val="20"/>
          <w:szCs w:val="20"/>
        </w:rPr>
        <w:t>.</w:t>
      </w:r>
      <w:r>
        <w:rPr>
          <w:rFonts w:cs="Arial"/>
          <w:spacing w:val="-3"/>
          <w:sz w:val="20"/>
          <w:szCs w:val="20"/>
        </w:rPr>
        <w:t xml:space="preserve"> </w:t>
      </w:r>
      <w:r w:rsidRPr="00EA5A51">
        <w:rPr>
          <w:rFonts w:cs="Arial"/>
          <w:spacing w:val="-3"/>
        </w:rPr>
        <w:t xml:space="preserve">Este </w:t>
      </w:r>
      <w:r w:rsidRPr="00EA5A51">
        <w:rPr>
          <w:rFonts w:eastAsia="Calibri"/>
          <w:color w:val="000000"/>
          <w:lang w:val="es-ES" w:eastAsia="es-ES"/>
        </w:rPr>
        <w:t xml:space="preserve"> requisito podrá ser cumplido mediante la experiencia de un subcontratista debidamente identificado en la oferta.</w:t>
      </w:r>
      <w:r>
        <w:rPr>
          <w:rFonts w:eastAsia="Calibri"/>
          <w:color w:val="000000"/>
          <w:lang w:val="es-ES" w:eastAsia="es-ES"/>
        </w:rPr>
        <w:t xml:space="preserve"> </w:t>
      </w:r>
      <w:r w:rsidRPr="003D3A4D">
        <w:rPr>
          <w:rFonts w:eastAsia="Calibri"/>
          <w:color w:val="000000"/>
          <w:lang w:val="es-ES" w:eastAsia="es-ES"/>
        </w:rPr>
        <w:t>El presente requisito es a efectos de la presentación de oferta para un Lote. En caso de presentarse una oferta para dos o más lotes, el Licitante debe cumplir con la suma de los requisitos de los lotes individuales</w:t>
      </w:r>
    </w:p>
    <w:p w:rsidR="00FB3B13" w:rsidRPr="00EA5A51" w:rsidRDefault="00FB3B13" w:rsidP="00FB3B13">
      <w:pPr>
        <w:pStyle w:val="Listaconnmeros"/>
        <w:numPr>
          <w:ilvl w:val="0"/>
          <w:numId w:val="0"/>
        </w:numPr>
        <w:ind w:left="1440"/>
        <w:jc w:val="both"/>
        <w:rPr>
          <w:lang w:val="es-CO"/>
        </w:rPr>
      </w:pPr>
    </w:p>
    <w:p w:rsidR="00FB3B13" w:rsidRPr="00C452F7" w:rsidRDefault="00FB3B13" w:rsidP="00FB3B13">
      <w:pPr>
        <w:ind w:left="720"/>
        <w:jc w:val="both"/>
        <w:rPr>
          <w:lang w:val="es-MX"/>
        </w:rPr>
      </w:pPr>
      <w:r w:rsidRPr="00C452F7">
        <w:rPr>
          <w:iCs/>
          <w:lang w:val="es-MX"/>
        </w:rPr>
        <w:t>No se otorgará</w:t>
      </w:r>
      <w:r w:rsidRPr="00C452F7">
        <w:rPr>
          <w:i/>
          <w:iCs/>
          <w:lang w:val="es-MX"/>
        </w:rPr>
        <w:t xml:space="preserve"> </w:t>
      </w:r>
      <w:r w:rsidRPr="00C452F7">
        <w:rPr>
          <w:lang w:val="es-MX"/>
        </w:rPr>
        <w:t xml:space="preserve">un Margen de Preferencia a Contratistas o asociaciones nacionales elegibles. Mayores detalles se proporcionan en los Documentos de Licitación.  </w:t>
      </w:r>
    </w:p>
    <w:p w:rsidR="00FB3B13" w:rsidRDefault="00FB3B13" w:rsidP="00FB3B13">
      <w:pPr>
        <w:jc w:val="both"/>
        <w:rPr>
          <w:lang w:val="es-MX"/>
        </w:rPr>
      </w:pPr>
    </w:p>
    <w:p w:rsidR="00FB3B13" w:rsidRDefault="00FB3B13" w:rsidP="00FB3B13">
      <w:pPr>
        <w:numPr>
          <w:ilvl w:val="0"/>
          <w:numId w:val="2"/>
        </w:numPr>
        <w:spacing w:after="200"/>
        <w:jc w:val="both"/>
        <w:rPr>
          <w:lang w:val="es-MX"/>
        </w:rPr>
      </w:pPr>
      <w:r w:rsidRPr="00625324">
        <w:rPr>
          <w:lang w:val="es-MX"/>
        </w:rPr>
        <w:t xml:space="preserve">Los licitantes interesados podrán comprar un juego completo de los Documentos de Licitación en idioma español, mediante presentación de una solicitud por escrito a la dirección indicada al final de este Llamado y contra el pago de una suma no reembolsable de de </w:t>
      </w:r>
      <w:r>
        <w:rPr>
          <w:lang w:val="es-MX"/>
        </w:rPr>
        <w:t>USD 200 o $ 4.850</w:t>
      </w:r>
      <w:r w:rsidRPr="00625324">
        <w:rPr>
          <w:lang w:val="es-MX"/>
        </w:rPr>
        <w:t xml:space="preserve">.  Deberá efectuarse con anterioridad al acto de apertura, un depósito bancario en el Banco de la República Oriental del Uruguay, cuenta corriente pesos uruguayos Nº 1520024170 y caja de ahorro en dólares estadounidenses Nº 1510297583, por el importe y moneda correspondiente. El comprobante del referido depósito se presentará en el momento de adquirir los Documentos de Licitación.  Los oferentes extranjeros podrán adquirir los documentos, realizando además del pago del monto antedicho el correspondiente por concepto de envío. El documento será remitido por correo al exterior. El pliego correspondiente, así como información adicional de esta Licitación, estará disponible en la página web de OSE </w:t>
      </w:r>
      <w:hyperlink r:id="rId8" w:history="1">
        <w:r w:rsidRPr="00B17E89">
          <w:rPr>
            <w:rStyle w:val="Hipervnculo"/>
            <w:lang w:val="es-MX"/>
          </w:rPr>
          <w:t>www.ose.com.uy</w:t>
        </w:r>
      </w:hyperlink>
      <w:r>
        <w:rPr>
          <w:lang w:val="es-MX"/>
        </w:rPr>
        <w:t xml:space="preserve"> (Licitaciones y Compras).</w:t>
      </w:r>
    </w:p>
    <w:p w:rsidR="00FB3B13" w:rsidRDefault="00FB3B13" w:rsidP="00FB3B13">
      <w:pPr>
        <w:numPr>
          <w:ilvl w:val="0"/>
          <w:numId w:val="2"/>
        </w:numPr>
        <w:jc w:val="both"/>
        <w:rPr>
          <w:lang w:val="es-MX"/>
        </w:rPr>
      </w:pPr>
      <w:r w:rsidRPr="00A85787">
        <w:rPr>
          <w:lang w:val="es-MX"/>
        </w:rPr>
        <w:lastRenderedPageBreak/>
        <w:t xml:space="preserve">Las ofertas deberán hacerse llegar a la dirección indicada abajo a más tardar a las </w:t>
      </w:r>
      <w:r w:rsidRPr="00FC58D8">
        <w:rPr>
          <w:b/>
          <w:lang w:val="es-MX"/>
        </w:rPr>
        <w:t>11 horas</w:t>
      </w:r>
      <w:r>
        <w:rPr>
          <w:lang w:val="es-MX"/>
        </w:rPr>
        <w:t xml:space="preserve"> del día </w:t>
      </w:r>
      <w:r w:rsidRPr="00FC58D8">
        <w:rPr>
          <w:b/>
          <w:lang w:val="es-MX"/>
        </w:rPr>
        <w:t>martes 12 de mayo de 2015</w:t>
      </w:r>
      <w:r w:rsidRPr="00A85787">
        <w:rPr>
          <w:lang w:val="es-MX"/>
        </w:rPr>
        <w:t xml:space="preserve">. Ofertas electrónicas no serán permitidas. Las ofertas que se reciban fuera de plazo serán rechazadas. Las ofertas se abrirán físicamente en presencia de los representantes de los licitantes que deseen asistir en persona a la dirección indicada al final de este Llamado a las </w:t>
      </w:r>
      <w:r w:rsidRPr="00FC58D8">
        <w:rPr>
          <w:b/>
          <w:lang w:val="es-MX"/>
        </w:rPr>
        <w:t>11 horas</w:t>
      </w:r>
      <w:r>
        <w:rPr>
          <w:lang w:val="es-MX"/>
        </w:rPr>
        <w:t xml:space="preserve"> del día </w:t>
      </w:r>
      <w:r w:rsidRPr="00FC58D8">
        <w:rPr>
          <w:b/>
          <w:lang w:val="es-MX"/>
        </w:rPr>
        <w:t>martes 12 de mayo de 2015</w:t>
      </w:r>
      <w:r w:rsidRPr="00A85787">
        <w:rPr>
          <w:lang w:val="es-MX"/>
        </w:rPr>
        <w:t xml:space="preserve">. </w:t>
      </w:r>
      <w:r w:rsidRPr="00625324">
        <w:rPr>
          <w:lang w:val="es-MX"/>
        </w:rPr>
        <w:t>Todas las ofertas deberán estar acompañadas de una Garantía de Seriedad de la oferta por el monto de</w:t>
      </w:r>
      <w:r>
        <w:rPr>
          <w:lang w:val="es-MX"/>
        </w:rPr>
        <w:t>:</w:t>
      </w:r>
      <w:r w:rsidRPr="00625324">
        <w:rPr>
          <w:lang w:val="es-MX"/>
        </w:rPr>
        <w:t xml:space="preserve"> U$S 100.000 (dólares estadounidenses cien mil)</w:t>
      </w:r>
      <w:r>
        <w:rPr>
          <w:lang w:val="es-MX"/>
        </w:rPr>
        <w:t xml:space="preserve"> para el Lote 1, </w:t>
      </w:r>
      <w:r w:rsidRPr="00625324">
        <w:rPr>
          <w:lang w:val="es-MX"/>
        </w:rPr>
        <w:t>U$S 100.000 (dólares estadounidenses cien mil)</w:t>
      </w:r>
      <w:r>
        <w:rPr>
          <w:lang w:val="es-MX"/>
        </w:rPr>
        <w:t xml:space="preserve"> para el Lote 2 y</w:t>
      </w:r>
      <w:r w:rsidRPr="00405AAD">
        <w:rPr>
          <w:lang w:val="es-MX"/>
        </w:rPr>
        <w:t xml:space="preserve"> </w:t>
      </w:r>
      <w:r w:rsidRPr="00625324">
        <w:rPr>
          <w:lang w:val="es-MX"/>
        </w:rPr>
        <w:t>U$S 100.000 (dólares estadounidenses cien mil)</w:t>
      </w:r>
      <w:r>
        <w:rPr>
          <w:lang w:val="es-MX"/>
        </w:rPr>
        <w:t xml:space="preserve"> para el Lote 3.</w:t>
      </w:r>
    </w:p>
    <w:p w:rsidR="00FB3B13" w:rsidRDefault="00FB3B13" w:rsidP="00FB3B13">
      <w:pPr>
        <w:pStyle w:val="Prrafodelista"/>
        <w:rPr>
          <w:lang w:val="es-MX"/>
        </w:rPr>
      </w:pPr>
    </w:p>
    <w:p w:rsidR="00FB3B13" w:rsidRPr="00A85787" w:rsidRDefault="00FB3B13" w:rsidP="00FB3B13">
      <w:pPr>
        <w:numPr>
          <w:ilvl w:val="0"/>
          <w:numId w:val="2"/>
        </w:numPr>
        <w:jc w:val="both"/>
        <w:rPr>
          <w:lang w:val="es-MX"/>
        </w:rPr>
      </w:pPr>
      <w:r w:rsidRPr="00A85787">
        <w:rPr>
          <w:lang w:val="es-MX"/>
        </w:rPr>
        <w:t xml:space="preserve">Las direcciones referidas arriba son: </w:t>
      </w:r>
    </w:p>
    <w:p w:rsidR="00FB3B13" w:rsidRDefault="00FB3B13" w:rsidP="00FB3B13">
      <w:pPr>
        <w:jc w:val="both"/>
        <w:rPr>
          <w:b/>
          <w:u w:val="single"/>
        </w:rPr>
      </w:pPr>
    </w:p>
    <w:p w:rsidR="00FB3B13" w:rsidRPr="00C452F7" w:rsidRDefault="00FB3B13" w:rsidP="00FB3B13">
      <w:pPr>
        <w:ind w:left="720"/>
        <w:jc w:val="both"/>
        <w:rPr>
          <w:b/>
          <w:u w:val="single"/>
        </w:rPr>
      </w:pPr>
      <w:r w:rsidRPr="00C452F7">
        <w:rPr>
          <w:b/>
          <w:u w:val="single"/>
        </w:rPr>
        <w:t>Oficina donde obtener información y adquirir los Pliegos:</w:t>
      </w:r>
    </w:p>
    <w:p w:rsidR="00FB3B13" w:rsidRPr="00C452F7" w:rsidRDefault="00FB3B13" w:rsidP="00FB3B13">
      <w:pPr>
        <w:ind w:left="720" w:firstLine="720"/>
        <w:jc w:val="both"/>
      </w:pPr>
    </w:p>
    <w:p w:rsidR="00FB3B13" w:rsidRDefault="00FB3B13" w:rsidP="00FB3B13">
      <w:pPr>
        <w:ind w:left="720"/>
      </w:pPr>
      <w:r>
        <w:t xml:space="preserve">Administración de las </w:t>
      </w:r>
      <w:r w:rsidRPr="00C452F7">
        <w:t xml:space="preserve">Obras Sanitarias del Estado </w:t>
      </w:r>
    </w:p>
    <w:p w:rsidR="00FB3B13" w:rsidRDefault="00FB3B13" w:rsidP="00FB3B13">
      <w:pPr>
        <w:ind w:left="720"/>
      </w:pPr>
      <w:r>
        <w:t xml:space="preserve">Gerencia de Suministros - </w:t>
      </w:r>
      <w:r w:rsidRPr="00C452F7">
        <w:t>Sección Licitaciones.</w:t>
      </w:r>
    </w:p>
    <w:p w:rsidR="00FB3B13" w:rsidRDefault="00FB3B13" w:rsidP="00FB3B13">
      <w:pPr>
        <w:ind w:left="720"/>
      </w:pPr>
      <w:r>
        <w:t xml:space="preserve">Dirección: </w:t>
      </w:r>
      <w:r w:rsidRPr="00C452F7">
        <w:t>San Martín 3235.</w:t>
      </w:r>
      <w:r>
        <w:rPr>
          <w:lang w:val="es-UY"/>
        </w:rPr>
        <w:t xml:space="preserve"> </w:t>
      </w:r>
      <w:r w:rsidRPr="00C452F7">
        <w:rPr>
          <w:lang w:val="es-UY"/>
        </w:rPr>
        <w:t>Montevideo. Uruguay</w:t>
      </w:r>
    </w:p>
    <w:p w:rsidR="00FB3B13" w:rsidRDefault="00FB3B13" w:rsidP="00FB3B13">
      <w:pPr>
        <w:ind w:left="1440" w:hanging="720"/>
        <w:rPr>
          <w:lang w:val="es-UY"/>
        </w:rPr>
      </w:pPr>
      <w:r w:rsidRPr="00C452F7">
        <w:t xml:space="preserve">Teléfono/Fax: </w:t>
      </w:r>
      <w:r>
        <w:t>(+598) 2</w:t>
      </w:r>
      <w:r w:rsidRPr="00C452F7">
        <w:t>2037405.</w:t>
      </w:r>
    </w:p>
    <w:p w:rsidR="00FB3B13" w:rsidRDefault="00FB3B13" w:rsidP="00FB3B13">
      <w:pPr>
        <w:ind w:left="1440" w:hanging="720"/>
        <w:rPr>
          <w:lang w:val="es-UY"/>
        </w:rPr>
      </w:pPr>
      <w:r>
        <w:rPr>
          <w:lang w:val="es-UY"/>
        </w:rPr>
        <w:t xml:space="preserve">Correo electrónico: </w:t>
      </w:r>
      <w:hyperlink r:id="rId9" w:history="1">
        <w:r w:rsidRPr="00B17E89">
          <w:rPr>
            <w:rStyle w:val="Hipervnculo"/>
            <w:lang w:val="es-UY"/>
          </w:rPr>
          <w:t>licitaciones@ose.com.uy</w:t>
        </w:r>
      </w:hyperlink>
    </w:p>
    <w:p w:rsidR="00FB3B13" w:rsidRPr="00C452F7" w:rsidRDefault="006913AE" w:rsidP="00FB3B13">
      <w:pPr>
        <w:ind w:left="1440" w:hanging="720"/>
        <w:rPr>
          <w:lang w:val="es-UY"/>
        </w:rPr>
      </w:pPr>
      <w:hyperlink r:id="rId10" w:history="1">
        <w:r w:rsidR="00FB3B13" w:rsidRPr="00C452F7">
          <w:rPr>
            <w:rStyle w:val="Hipervnculo"/>
            <w:lang w:val="es-UY"/>
          </w:rPr>
          <w:t>www.ose.com.uy</w:t>
        </w:r>
      </w:hyperlink>
    </w:p>
    <w:p w:rsidR="00FB3B13" w:rsidRPr="00C452F7" w:rsidRDefault="00FB3B13" w:rsidP="00FB3B13">
      <w:pPr>
        <w:pStyle w:val="Textonotaalfinal"/>
        <w:rPr>
          <w:sz w:val="24"/>
          <w:szCs w:val="24"/>
          <w:lang w:val="es-UY"/>
        </w:rPr>
      </w:pPr>
    </w:p>
    <w:p w:rsidR="00FB3B13" w:rsidRPr="00C452F7" w:rsidRDefault="00FB3B13" w:rsidP="00FB3B13">
      <w:pPr>
        <w:pStyle w:val="Textonotaalfinal"/>
        <w:ind w:left="704"/>
        <w:rPr>
          <w:b/>
          <w:sz w:val="24"/>
          <w:szCs w:val="24"/>
          <w:u w:val="single"/>
        </w:rPr>
      </w:pPr>
      <w:r w:rsidRPr="00C452F7">
        <w:rPr>
          <w:b/>
          <w:sz w:val="24"/>
          <w:szCs w:val="24"/>
          <w:u w:val="single"/>
        </w:rPr>
        <w:t>Lugar de Recepción y Apertura de las Ofertas:</w:t>
      </w:r>
    </w:p>
    <w:p w:rsidR="00FB3B13" w:rsidRPr="00C452F7" w:rsidRDefault="00FB3B13" w:rsidP="00FB3B13">
      <w:pPr>
        <w:pStyle w:val="Textonotaalfinal"/>
        <w:ind w:left="704"/>
        <w:rPr>
          <w:sz w:val="24"/>
          <w:szCs w:val="24"/>
        </w:rPr>
      </w:pPr>
    </w:p>
    <w:p w:rsidR="00FB3B13" w:rsidRDefault="00FB3B13" w:rsidP="00FB3B13">
      <w:pPr>
        <w:ind w:left="720"/>
      </w:pPr>
      <w:r>
        <w:t xml:space="preserve">Administración de las </w:t>
      </w:r>
      <w:r w:rsidRPr="00C452F7">
        <w:t xml:space="preserve">Obras Sanitarias del Estado </w:t>
      </w:r>
    </w:p>
    <w:p w:rsidR="00FB3B13" w:rsidRDefault="00FB3B13" w:rsidP="00FB3B13">
      <w:pPr>
        <w:ind w:left="720"/>
      </w:pPr>
      <w:r>
        <w:t xml:space="preserve">Gerencia de Suministros - </w:t>
      </w:r>
      <w:r w:rsidRPr="00C452F7">
        <w:t>Sección Licitaciones.</w:t>
      </w:r>
    </w:p>
    <w:p w:rsidR="00FB3B13" w:rsidRDefault="00FB3B13" w:rsidP="00FB3B13">
      <w:pPr>
        <w:ind w:left="720"/>
      </w:pPr>
      <w:r>
        <w:t xml:space="preserve">Dirección: </w:t>
      </w:r>
      <w:r w:rsidRPr="00C452F7">
        <w:t>San Martín 3235.</w:t>
      </w:r>
      <w:r>
        <w:rPr>
          <w:lang w:val="es-UY"/>
        </w:rPr>
        <w:t xml:space="preserve"> </w:t>
      </w:r>
      <w:r w:rsidRPr="00C452F7">
        <w:rPr>
          <w:lang w:val="es-UY"/>
        </w:rPr>
        <w:t>Montevideo. Uruguay</w:t>
      </w:r>
    </w:p>
    <w:p w:rsidR="00FB3B13" w:rsidRDefault="00FB3B13" w:rsidP="00FB3B13">
      <w:pPr>
        <w:jc w:val="center"/>
        <w:rPr>
          <w:b/>
          <w:bCs/>
          <w:sz w:val="28"/>
          <w:lang w:val="es-CO"/>
        </w:rPr>
      </w:pPr>
    </w:p>
    <w:p w:rsidR="00FB3B13" w:rsidRDefault="00FB3B13" w:rsidP="00FB3B13">
      <w:pPr>
        <w:jc w:val="center"/>
        <w:rPr>
          <w:b/>
          <w:bCs/>
          <w:sz w:val="28"/>
          <w:lang w:val="es-CO"/>
        </w:rPr>
      </w:pPr>
    </w:p>
    <w:p w:rsidR="00FB3B13" w:rsidRPr="00860DDE" w:rsidRDefault="00FB3B13" w:rsidP="00FB3B13">
      <w:pPr>
        <w:jc w:val="center"/>
        <w:rPr>
          <w:b/>
          <w:bCs/>
          <w:sz w:val="28"/>
          <w:lang w:val="es-CO"/>
        </w:rPr>
      </w:pPr>
    </w:p>
    <w:p w:rsidR="002319BA" w:rsidRDefault="00DB0D6C"/>
    <w:sectPr w:rsidR="002319BA" w:rsidSect="00FB3B13">
      <w:headerReference w:type="even" r:id="rId11"/>
      <w:headerReference w:type="default" r:id="rId12"/>
      <w:footnotePr>
        <w:numRestart w:val="eachSect"/>
      </w:footnotePr>
      <w:endnotePr>
        <w:numFmt w:val="decimal"/>
      </w:endnotePr>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3AE" w:rsidRDefault="006913AE" w:rsidP="006913AE">
      <w:r>
        <w:separator/>
      </w:r>
    </w:p>
  </w:endnote>
  <w:endnote w:type="continuationSeparator" w:id="0">
    <w:p w:rsidR="006913AE" w:rsidRDefault="006913AE" w:rsidP="00691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3AE" w:rsidRDefault="006913AE" w:rsidP="006913AE">
      <w:r>
        <w:separator/>
      </w:r>
    </w:p>
  </w:footnote>
  <w:footnote w:type="continuationSeparator" w:id="0">
    <w:p w:rsidR="006913AE" w:rsidRDefault="006913AE" w:rsidP="006913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Pr="00E64709" w:rsidRDefault="00DB0D6C" w:rsidP="00E6470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Pr="00E64709" w:rsidRDefault="00DB0D6C" w:rsidP="00E6470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49CECAE"/>
    <w:lvl w:ilvl="0">
      <w:start w:val="1"/>
      <w:numFmt w:val="decimal"/>
      <w:pStyle w:val="Listaconnmeros"/>
      <w:lvlText w:val="%1."/>
      <w:lvlJc w:val="left"/>
      <w:pPr>
        <w:tabs>
          <w:tab w:val="num" w:pos="360"/>
        </w:tabs>
        <w:ind w:left="360" w:hanging="360"/>
      </w:pPr>
    </w:lvl>
  </w:abstractNum>
  <w:abstractNum w:abstractNumId="1">
    <w:nsid w:val="20F16A4F"/>
    <w:multiLevelType w:val="hybridMultilevel"/>
    <w:tmpl w:val="33A25912"/>
    <w:lvl w:ilvl="0" w:tplc="380A0011">
      <w:start w:val="1"/>
      <w:numFmt w:val="decimal"/>
      <w:lvlText w:val="%1)"/>
      <w:lvlJc w:val="left"/>
      <w:pPr>
        <w:ind w:left="1800" w:hanging="360"/>
      </w:pPr>
      <w:rPr>
        <w:i w:val="0"/>
      </w:r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
    <w:nsid w:val="328F5C99"/>
    <w:multiLevelType w:val="hybridMultilevel"/>
    <w:tmpl w:val="9C341908"/>
    <w:lvl w:ilvl="0" w:tplc="380A0017">
      <w:start w:val="1"/>
      <w:numFmt w:val="lowerLetter"/>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
    <w:nsid w:val="36A635D6"/>
    <w:multiLevelType w:val="hybridMultilevel"/>
    <w:tmpl w:val="29FE5A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E1C1426"/>
    <w:multiLevelType w:val="hybridMultilevel"/>
    <w:tmpl w:val="E69448A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numRestart w:val="eachSect"/>
    <w:footnote w:id="-1"/>
    <w:footnote w:id="0"/>
  </w:footnotePr>
  <w:endnotePr>
    <w:numFmt w:val="decimal"/>
    <w:endnote w:id="-1"/>
    <w:endnote w:id="0"/>
  </w:endnotePr>
  <w:compat/>
  <w:rsids>
    <w:rsidRoot w:val="00FB3B13"/>
    <w:rsid w:val="006913AE"/>
    <w:rsid w:val="00DA2520"/>
    <w:rsid w:val="00DB0D6C"/>
    <w:rsid w:val="00E91C91"/>
    <w:rsid w:val="00F446D8"/>
    <w:rsid w:val="00FB3B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B13"/>
    <w:pPr>
      <w:spacing w:after="0" w:line="240" w:lineRule="auto"/>
    </w:pPr>
    <w:rPr>
      <w:rFonts w:ascii="Times New Roman" w:eastAsia="Times New Roman" w:hAnsi="Times New Roman" w:cs="Times New Roman"/>
      <w:sz w:val="24"/>
      <w:szCs w:val="24"/>
      <w:lang w:val="es-ES_tradnl"/>
    </w:rPr>
  </w:style>
  <w:style w:type="paragraph" w:styleId="Ttulo6">
    <w:name w:val="heading 6"/>
    <w:basedOn w:val="Normal"/>
    <w:next w:val="Normal"/>
    <w:link w:val="Ttulo6Car"/>
    <w:qFormat/>
    <w:rsid w:val="00FB3B13"/>
    <w:pPr>
      <w:keepNext/>
      <w:tabs>
        <w:tab w:val="left" w:pos="1080"/>
        <w:tab w:val="right" w:leader="dot" w:pos="9000"/>
      </w:tabs>
      <w:ind w:left="720" w:hanging="720"/>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FB3B13"/>
    <w:rPr>
      <w:rFonts w:ascii="Times New Roman" w:eastAsia="Times New Roman" w:hAnsi="Times New Roman" w:cs="Times New Roman"/>
      <w:b/>
      <w:bCs/>
      <w:sz w:val="24"/>
      <w:szCs w:val="24"/>
      <w:lang w:val="es-ES_tradnl"/>
    </w:rPr>
  </w:style>
  <w:style w:type="paragraph" w:styleId="Textoindependiente">
    <w:name w:val="Body Text"/>
    <w:basedOn w:val="Normal"/>
    <w:link w:val="TextoindependienteCar"/>
    <w:rsid w:val="00FB3B13"/>
    <w:pPr>
      <w:jc w:val="center"/>
    </w:pPr>
    <w:rPr>
      <w:sz w:val="72"/>
    </w:rPr>
  </w:style>
  <w:style w:type="character" w:customStyle="1" w:styleId="TextoindependienteCar">
    <w:name w:val="Texto independiente Car"/>
    <w:basedOn w:val="Fuentedeprrafopredeter"/>
    <w:link w:val="Textoindependiente"/>
    <w:rsid w:val="00FB3B13"/>
    <w:rPr>
      <w:rFonts w:ascii="Times New Roman" w:eastAsia="Times New Roman" w:hAnsi="Times New Roman" w:cs="Times New Roman"/>
      <w:sz w:val="72"/>
      <w:szCs w:val="24"/>
      <w:lang w:val="es-ES_tradnl"/>
    </w:rPr>
  </w:style>
  <w:style w:type="character" w:styleId="Hipervnculo">
    <w:name w:val="Hyperlink"/>
    <w:basedOn w:val="Fuentedeprrafopredeter"/>
    <w:uiPriority w:val="99"/>
    <w:rsid w:val="00FB3B13"/>
    <w:rPr>
      <w:color w:val="0000FF"/>
      <w:u w:val="single"/>
    </w:rPr>
  </w:style>
  <w:style w:type="paragraph" w:styleId="Encabezado">
    <w:name w:val="header"/>
    <w:basedOn w:val="Normal"/>
    <w:link w:val="EncabezadoCar"/>
    <w:rsid w:val="00FB3B13"/>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rsid w:val="00FB3B13"/>
    <w:rPr>
      <w:rFonts w:ascii="Times New Roman" w:eastAsia="Times New Roman" w:hAnsi="Times New Roman" w:cs="Times New Roman"/>
      <w:sz w:val="20"/>
      <w:szCs w:val="20"/>
      <w:lang w:val="es-ES_tradnl"/>
    </w:rPr>
  </w:style>
  <w:style w:type="character" w:customStyle="1" w:styleId="TextonotaalfinalCar">
    <w:name w:val="Texto nota al final Car"/>
    <w:basedOn w:val="Fuentedeprrafopredeter"/>
    <w:link w:val="Textonotaalfinal"/>
    <w:rsid w:val="00FB3B13"/>
    <w:rPr>
      <w:rFonts w:ascii="Times New Roman" w:eastAsia="Times New Roman" w:hAnsi="Times New Roman" w:cs="Times New Roman"/>
      <w:sz w:val="20"/>
      <w:szCs w:val="20"/>
      <w:lang w:val="es-ES_tradnl"/>
    </w:rPr>
  </w:style>
  <w:style w:type="paragraph" w:styleId="Textonotaalfinal">
    <w:name w:val="endnote text"/>
    <w:basedOn w:val="Normal"/>
    <w:link w:val="TextonotaalfinalCar"/>
    <w:rsid w:val="00FB3B13"/>
    <w:rPr>
      <w:sz w:val="20"/>
      <w:szCs w:val="20"/>
    </w:rPr>
  </w:style>
  <w:style w:type="character" w:customStyle="1" w:styleId="TextonotaalfinalCar1">
    <w:name w:val="Texto nota al final Car1"/>
    <w:basedOn w:val="Fuentedeprrafopredeter"/>
    <w:link w:val="Textonotaalfinal"/>
    <w:uiPriority w:val="99"/>
    <w:semiHidden/>
    <w:rsid w:val="00FB3B13"/>
    <w:rPr>
      <w:rFonts w:ascii="Times New Roman" w:eastAsia="Times New Roman" w:hAnsi="Times New Roman" w:cs="Times New Roman"/>
      <w:sz w:val="20"/>
      <w:szCs w:val="20"/>
      <w:lang w:val="es-ES_tradnl"/>
    </w:rPr>
  </w:style>
  <w:style w:type="paragraph" w:styleId="Ttulo">
    <w:name w:val="Title"/>
    <w:basedOn w:val="Normal"/>
    <w:link w:val="TtuloCar"/>
    <w:qFormat/>
    <w:rsid w:val="00FB3B13"/>
    <w:pPr>
      <w:jc w:val="center"/>
    </w:pPr>
    <w:rPr>
      <w:b/>
      <w:sz w:val="48"/>
      <w:szCs w:val="20"/>
      <w:lang w:val="en-US"/>
    </w:rPr>
  </w:style>
  <w:style w:type="character" w:customStyle="1" w:styleId="TtuloCar">
    <w:name w:val="Título Car"/>
    <w:basedOn w:val="Fuentedeprrafopredeter"/>
    <w:link w:val="Ttulo"/>
    <w:rsid w:val="00FB3B13"/>
    <w:rPr>
      <w:rFonts w:ascii="Times New Roman" w:eastAsia="Times New Roman" w:hAnsi="Times New Roman" w:cs="Times New Roman"/>
      <w:b/>
      <w:sz w:val="48"/>
      <w:szCs w:val="20"/>
      <w:lang w:val="en-US"/>
    </w:rPr>
  </w:style>
  <w:style w:type="paragraph" w:styleId="Prrafodelista">
    <w:name w:val="List Paragraph"/>
    <w:basedOn w:val="Normal"/>
    <w:uiPriority w:val="99"/>
    <w:qFormat/>
    <w:rsid w:val="00FB3B13"/>
    <w:pPr>
      <w:ind w:left="720"/>
      <w:contextualSpacing/>
    </w:pPr>
  </w:style>
  <w:style w:type="paragraph" w:styleId="Listaconnmeros">
    <w:name w:val="List Number"/>
    <w:basedOn w:val="Normal"/>
    <w:rsid w:val="00FB3B13"/>
    <w:pPr>
      <w:numPr>
        <w:numId w:val="1"/>
      </w:numPr>
      <w:contextualSpacing/>
    </w:pPr>
  </w:style>
  <w:style w:type="paragraph" w:styleId="Textodeglobo">
    <w:name w:val="Balloon Text"/>
    <w:basedOn w:val="Normal"/>
    <w:link w:val="TextodegloboCar"/>
    <w:uiPriority w:val="99"/>
    <w:semiHidden/>
    <w:unhideWhenUsed/>
    <w:rsid w:val="00FB3B13"/>
    <w:rPr>
      <w:rFonts w:ascii="Tahoma" w:hAnsi="Tahoma" w:cs="Tahoma"/>
      <w:sz w:val="16"/>
      <w:szCs w:val="16"/>
    </w:rPr>
  </w:style>
  <w:style w:type="character" w:customStyle="1" w:styleId="TextodegloboCar">
    <w:name w:val="Texto de globo Car"/>
    <w:basedOn w:val="Fuentedeprrafopredeter"/>
    <w:link w:val="Textodeglobo"/>
    <w:uiPriority w:val="99"/>
    <w:semiHidden/>
    <w:rsid w:val="00FB3B13"/>
    <w:rPr>
      <w:rFonts w:ascii="Tahoma" w:eastAsia="Times New Roman"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e.com.u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ose.com.uy" TargetMode="External"/><Relationship Id="rId4" Type="http://schemas.openxmlformats.org/officeDocument/2006/relationships/webSettings" Target="webSettings.xml"/><Relationship Id="rId9" Type="http://schemas.openxmlformats.org/officeDocument/2006/relationships/hyperlink" Target="mailto:licitaciones@ose.com.uy"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1395</Words>
  <Characters>7675</Characters>
  <Application>Microsoft Office Word</Application>
  <DocSecurity>0</DocSecurity>
  <Lines>63</Lines>
  <Paragraphs>18</Paragraphs>
  <ScaleCrop>false</ScaleCrop>
  <Company>OSE</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mjarce</dc:creator>
  <cp:keywords/>
  <dc:description/>
  <cp:lastModifiedBy>mjarce</cp:lastModifiedBy>
  <cp:revision>2</cp:revision>
  <dcterms:created xsi:type="dcterms:W3CDTF">2015-03-13T13:02:00Z</dcterms:created>
  <dcterms:modified xsi:type="dcterms:W3CDTF">2015-03-13T14:55:00Z</dcterms:modified>
</cp:coreProperties>
</file>